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45" w:line="218" w:lineRule="auto"/>
        <w:jc w:val="center"/>
        <w:outlineLvl w:val="1"/>
        <w:rPr>
          <w:rFonts w:ascii="宋体" w:hAnsi="宋体" w:eastAsia="宋体" w:cs="宋体"/>
          <w:sz w:val="28"/>
          <w:szCs w:val="28"/>
        </w:rPr>
      </w:pPr>
      <w:bookmarkStart w:id="0" w:name="_Toc4525"/>
      <w:r>
        <w:rPr>
          <w:rFonts w:ascii="宋体" w:hAnsi="宋体" w:eastAsia="宋体" w:cs="宋体"/>
          <w:spacing w:val="-6"/>
          <w:sz w:val="28"/>
          <w:szCs w:val="28"/>
        </w:rPr>
        <w:t>严重不良事件报告表</w:t>
      </w:r>
      <w:bookmarkEnd w:id="0"/>
    </w:p>
    <w:tbl>
      <w:tblPr>
        <w:tblStyle w:val="6"/>
        <w:tblpPr w:leftFromText="180" w:rightFromText="180" w:vertAnchor="text" w:horzAnchor="page" w:tblpX="1429" w:tblpY="63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3287"/>
        <w:gridCol w:w="11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" w:line="219" w:lineRule="auto"/>
              <w:ind w:left="75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临床试验项目名称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8" w:lineRule="auto"/>
              <w:ind w:left="75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报告类型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firstLine="196" w:firstLineChars="100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  <w:t>首次</w:t>
            </w:r>
            <w:r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随访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总结报告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  <w:lang w:eastAsia="zh-CN"/>
              </w:rPr>
              <w:t>报告时间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left="312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74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临床试验同意文号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left="312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" w:line="219" w:lineRule="auto"/>
              <w:ind w:left="74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left="312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ind w:left="74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221" w:lineRule="auto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电话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219" w:lineRule="auto"/>
              <w:ind w:left="74" w:leftChars="0"/>
              <w:jc w:val="both"/>
              <w:outlineLvl w:val="9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临床研究分类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5" w:line="206" w:lineRule="auto"/>
              <w:ind w:left="273" w:leftChars="0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t>Ⅰ期</w:t>
            </w:r>
            <w:r>
              <w:rPr>
                <w:rFonts w:hint="default" w:ascii="Times New Roman" w:hAnsi="Times New Roman" w:eastAsia="宋体" w:cs="Times New Roman"/>
                <w:spacing w:val="-15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t>Ⅱ期，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</w:rPr>
              <w:t>Ⅲ期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IV期，</w:t>
            </w:r>
            <w:r>
              <w:rPr>
                <w:rFonts w:hint="default" w:ascii="Times New Roman" w:hAnsi="Times New Roman" w:eastAsia="宋体" w:cs="Times New Roman"/>
                <w:spacing w:val="57"/>
                <w:w w:val="10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生物等效性试验，</w:t>
            </w:r>
            <w:r>
              <w:rPr>
                <w:rFonts w:hint="default" w:ascii="Times New Roman" w:hAnsi="Times New Roman" w:eastAsia="宋体" w:cs="Times New Roman"/>
                <w:spacing w:val="29"/>
                <w:w w:val="10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8" w:lineRule="auto"/>
              <w:ind w:left="75"/>
              <w:jc w:val="both"/>
              <w:outlineLvl w:val="9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研究机构名称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firstLine="196" w:firstLineChars="100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207" w:lineRule="auto"/>
              <w:ind w:left="312"/>
              <w:jc w:val="both"/>
              <w:outlineLvl w:val="9"/>
              <w:rPr>
                <w:rFonts w:hint="eastAsia" w:ascii="宋体" w:hAnsi="宋体" w:eastAsia="宋体" w:cs="宋体"/>
                <w:spacing w:val="-7"/>
                <w:position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8" w:lineRule="auto"/>
              <w:ind w:left="44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报告者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ind w:left="555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8" w:lineRule="auto"/>
              <w:ind w:left="44" w:leftChars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报告者的电话</w:t>
            </w:r>
          </w:p>
        </w:tc>
        <w:tc>
          <w:tcPr>
            <w:tcW w:w="328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子信箱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8" w:lineRule="exact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420" w:tblpY="243"/>
        <w:tblOverlap w:val="never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1965"/>
        <w:gridCol w:w="1635"/>
        <w:gridCol w:w="2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" w:line="219" w:lineRule="auto"/>
              <w:ind w:left="84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的鉴认代码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21" w:lineRule="auto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民族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21" w:lineRule="auto"/>
              <w:ind w:left="84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出生时间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19" w:lineRule="auto"/>
              <w:ind w:firstLine="396" w:firstLineChars="20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20" w:lineRule="auto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性别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32" w:lineRule="auto"/>
              <w:ind w:left="288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男</w:t>
            </w:r>
            <w:r>
              <w:rPr>
                <w:rFonts w:hint="eastAsia" w:ascii="宋体" w:hAnsi="宋体" w:eastAsia="宋体" w:cs="宋体"/>
                <w:spacing w:val="6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ind w:left="84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体重(公斤)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身高(厘米)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ind w:left="84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是否退出研究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23" w:lineRule="auto"/>
              <w:ind w:left="303" w:firstLine="950" w:firstLineChars="500"/>
              <w:jc w:val="both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否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429" w:tblpY="175"/>
        <w:tblOverlap w:val="never"/>
        <w:tblW w:w="89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9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  <w:t>现病史(试验用药适应证以外，SAE发生时未恢复的疾病):描述每一疾病的名称，开始时间</w:t>
            </w:r>
            <w:r>
              <w:rPr>
                <w:rFonts w:hint="eastAsia" w:ascii="宋体" w:hAnsi="宋体" w:eastAsia="宋体" w:cs="宋体"/>
                <w:spacing w:val="-1"/>
                <w:position w:val="11"/>
                <w:sz w:val="21"/>
                <w:szCs w:val="21"/>
              </w:rPr>
              <w:t>，治疗药</w:t>
            </w:r>
            <w:r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  <w:t>物(通用名)及用法用量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894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55"/>
              <w:outlineLvl w:val="9"/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  <w:t>既往史(SAE发生时已经恢复的以往疾病，以及饮酒史，吸烟史，过敏史。特别说明有无肝病史、肾病史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outlineLvl w:val="9"/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94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20" w:lineRule="auto"/>
              <w:ind w:left="55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家族史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20" w:lineRule="auto"/>
              <w:ind w:left="55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3" w:line="220" w:lineRule="auto"/>
              <w:ind w:left="55"/>
              <w:outlineLvl w:val="9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414" w:tblpY="240"/>
        <w:tblOverlap w:val="never"/>
        <w:tblW w:w="8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2310"/>
        <w:gridCol w:w="1676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严重不良事件(此表可复制)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19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名称(诊断)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20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SAE是否预期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20" w:lineRule="auto"/>
              <w:ind w:left="293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220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发生时间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ind w:firstLine="198" w:firstLineChars="1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结束时间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ind w:left="438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获知时间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ind w:left="502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7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SAE程度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导致死亡，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ind w:left="220" w:hanging="220" w:hangingChars="100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危及生命(指患者即刻存在死亡的风险，并非是指假设将来发展严重时可能出现死亡)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导致住院或住院时间延长，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永久或显著的功能丧失，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致畴、致出生缺陷，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ind w:left="220" w:hanging="220" w:hangingChars="100"/>
              <w:jc w:val="left"/>
              <w:outlineLvl w:val="9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其他重要医学事件(可能不会立即危及生命、死亡或住院，但如需要采取医学措施来预防以上情形之一的发生，也通常被视为是严重的)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left="44"/>
              <w:jc w:val="center"/>
              <w:outlineLvl w:val="9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CTCAE分级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20" w:lineRule="auto"/>
              <w:ind w:left="44" w:leftChars="0"/>
              <w:jc w:val="center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对SAE的医疗措施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ind w:firstLine="202" w:firstLineChars="100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有(请在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临床表现及处理的详细情况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栏说明),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219" w:lineRule="auto"/>
              <w:ind w:left="44" w:leftChars="0"/>
              <w:jc w:val="center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SAE的转归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219" w:lineRule="auto"/>
              <w:ind w:firstLine="198" w:firstLineChars="100"/>
              <w:jc w:val="left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-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6"/>
                <w:position w:val="-2"/>
                <w:sz w:val="21"/>
                <w:szCs w:val="21"/>
              </w:rPr>
              <w:t>痊愈，</w:t>
            </w:r>
            <w:r>
              <w:rPr>
                <w:rFonts w:hint="default" w:ascii="Times New Roman" w:hAnsi="Times New Roman" w:eastAsia="宋体" w:cs="Times New Roman"/>
                <w:spacing w:val="46"/>
                <w:position w:val="-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痊愈伴有后遗症</w:t>
            </w:r>
            <w:r>
              <w:rPr>
                <w:rFonts w:hint="default" w:ascii="Times New Roman" w:hAnsi="Times New Roman" w:eastAsia="宋体" w:cs="Times New Roman"/>
                <w:spacing w:val="-6"/>
                <w:position w:val="-2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29"/>
                <w:w w:val="101"/>
                <w:position w:val="-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好转，</w:t>
            </w:r>
            <w:r>
              <w:rPr>
                <w:rFonts w:hint="default" w:ascii="Times New Roman" w:hAnsi="Times New Roman" w:eastAsia="宋体" w:cs="Times New Roman"/>
                <w:spacing w:val="37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6"/>
                <w:position w:val="2"/>
                <w:sz w:val="21"/>
                <w:szCs w:val="21"/>
              </w:rPr>
              <w:t>无好转，</w:t>
            </w:r>
            <w:r>
              <w:rPr>
                <w:rFonts w:hint="default" w:ascii="Times New Roman" w:hAnsi="Times New Roman" w:eastAsia="宋体" w:cs="Times New Roman"/>
                <w:spacing w:val="16"/>
                <w:position w:val="2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6"/>
                <w:position w:val="3"/>
                <w:sz w:val="21"/>
                <w:szCs w:val="21"/>
              </w:rPr>
              <w:t>死亡</w:t>
            </w:r>
            <w:r>
              <w:rPr>
                <w:rFonts w:hint="default" w:ascii="Times New Roman" w:hAnsi="Times New Roman" w:eastAsia="宋体" w:cs="Times New Roman"/>
                <w:spacing w:val="-7"/>
                <w:position w:val="3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57"/>
                <w:position w:val="3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7"/>
                <w:position w:val="3"/>
                <w:sz w:val="21"/>
                <w:szCs w:val="21"/>
              </w:rPr>
              <w:t>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21" w:lineRule="auto"/>
              <w:ind w:left="44" w:leftChars="0"/>
              <w:jc w:val="center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死亡时间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left="572" w:leftChars="0"/>
              <w:jc w:val="center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firstLine="41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是否尸检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" w:line="234" w:lineRule="auto"/>
              <w:ind w:left="227" w:leftChars="0"/>
              <w:jc w:val="both"/>
              <w:outlineLvl w:val="9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-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4"/>
                <w:position w:val="-1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宋体" w:cs="Times New Roman"/>
                <w:spacing w:val="-4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18"/>
                <w:position w:val="-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是(附尸检报告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</w:p>
    <w:tbl>
      <w:tblPr>
        <w:tblStyle w:val="6"/>
        <w:tblpPr w:leftFromText="180" w:rightFromText="180" w:vertAnchor="text" w:horzAnchor="page" w:tblpX="1439" w:tblpY="227"/>
        <w:tblOverlap w:val="never"/>
        <w:tblW w:w="88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3659"/>
        <w:gridCol w:w="1355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64"/>
              <w:jc w:val="both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相关的实验室检查项目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19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检查项目名称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19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检查日期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19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检查结果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" w:line="219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正常值上下限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6"/>
        <w:tblpPr w:leftFromText="180" w:rightFromText="180" w:vertAnchor="text" w:horzAnchor="page" w:tblpX="1429" w:tblpY="235"/>
        <w:tblOverlap w:val="never"/>
        <w:tblW w:w="89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3150"/>
        <w:gridCol w:w="1335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55"/>
              <w:jc w:val="lef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试验用药品使用情况(如为设盲试验，尚未破盲，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试验用药品名称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录未破盲)(多个药物，可复制此表)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220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试验用药品名称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19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药物编号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9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临床试验用药适应证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20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是否已经给药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23" w:lineRule="auto"/>
              <w:ind w:left="302"/>
              <w:jc w:val="center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41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>，□</w:t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20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开始用药时间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firstLine="396" w:firstLineChars="20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219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剂量/日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给药途径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对试验用药采取的措施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31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继续用药，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减少剂量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停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药，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停药后恢复用药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219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采取措施的时间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4" w:line="219" w:lineRule="auto"/>
              <w:ind w:left="492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20" w:lineRule="auto"/>
              <w:ind w:left="55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是否破盲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3" w:lineRule="auto"/>
              <w:ind w:left="302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5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否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6" w:line="221" w:lineRule="auto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破盲时间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19" w:lineRule="auto"/>
              <w:ind w:firstLine="396" w:firstLineChars="200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/>
        </w:rPr>
      </w:pPr>
    </w:p>
    <w:tbl>
      <w:tblPr>
        <w:tblStyle w:val="6"/>
        <w:tblpPr w:leftFromText="180" w:rightFromText="180" w:vertAnchor="text" w:horzAnchor="page" w:tblpX="1403" w:tblpY="120"/>
        <w:tblOverlap w:val="never"/>
        <w:tblW w:w="8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188"/>
        <w:gridCol w:w="1178"/>
        <w:gridCol w:w="1665"/>
        <w:gridCol w:w="1545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4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1" w:line="294" w:lineRule="auto"/>
              <w:ind w:left="64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合并用药(合并用药指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发生前开始使用，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发生时正在使用的药品。针对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的治疗用药，请记录</w:t>
            </w: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>在"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SAE</w:t>
            </w: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>临床表现及处理的详细情况"栏)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220" w:lineRule="auto"/>
              <w:ind w:left="255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药物名称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19" w:lineRule="auto"/>
              <w:ind w:left="301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剂量/日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19" w:lineRule="auto"/>
              <w:ind w:left="263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给药途径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220" w:lineRule="auto"/>
              <w:ind w:left="96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开始用药时间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220" w:lineRule="auto"/>
              <w:ind w:left="236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停药时间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9" w:line="219" w:lineRule="auto"/>
              <w:ind w:left="258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使用原因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4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4" w:line="219" w:lineRule="auto"/>
              <w:ind w:firstLine="420" w:firstLineChars="20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/>
        </w:rPr>
      </w:pPr>
    </w:p>
    <w:tbl>
      <w:tblPr>
        <w:tblStyle w:val="6"/>
        <w:tblpPr w:leftFromText="180" w:rightFromText="180" w:vertAnchor="text" w:horzAnchor="page" w:tblpX="1324" w:tblpY="198"/>
        <w:tblOverlap w:val="never"/>
        <w:tblW w:w="9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6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0" w:line="218" w:lineRule="auto"/>
              <w:ind w:left="55"/>
              <w:jc w:val="left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SAE相关性评价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220" w:lineRule="auto"/>
              <w:ind w:left="55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可疑的药物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220" w:lineRule="auto"/>
              <w:ind w:left="55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与SAE的相关性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0" w:line="232" w:lineRule="auto"/>
              <w:ind w:left="210" w:leftChars="10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肯定有关，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很可能有关，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position w:val="1"/>
                <w:sz w:val="21"/>
                <w:szCs w:val="21"/>
              </w:rPr>
              <w:t>可能有关</w:t>
            </w:r>
            <w:r>
              <w:rPr>
                <w:rFonts w:hint="default" w:ascii="Times New Roman" w:hAnsi="Times New Roman" w:eastAsia="宋体" w:cs="Times New Roman"/>
                <w:spacing w:val="-1"/>
                <w:position w:val="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position w:val="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可能无关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0" w:line="232" w:lineRule="auto"/>
              <w:ind w:left="210" w:leftChars="10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position w:val="-1"/>
                <w:sz w:val="21"/>
                <w:szCs w:val="21"/>
              </w:rPr>
              <w:t>肯定无关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-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"/>
                <w:position w:val="-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"/>
                <w:position w:val="-1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无法评价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auto"/>
              <w:ind w:left="55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停用可疑药物后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4" w:line="233" w:lineRule="auto"/>
              <w:ind w:left="292"/>
              <w:jc w:val="left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SAE消失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SAE没有消失，</w:t>
            </w:r>
            <w:r>
              <w:rPr>
                <w:rFonts w:hint="default" w:ascii="Times New Roman" w:hAnsi="Times New Roman" w:eastAsia="宋体" w:cs="Times New Roman"/>
                <w:spacing w:val="36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6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不适用</w:t>
            </w:r>
            <w:r>
              <w:rPr>
                <w:rFonts w:hint="default" w:ascii="Times New Roman" w:hAnsi="Times New Roman" w:eastAsia="宋体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position w:val="-1"/>
                <w:sz w:val="21"/>
                <w:szCs w:val="21"/>
              </w:rPr>
              <w:t>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19" w:lineRule="auto"/>
              <w:ind w:left="55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再次使用可疑药物后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5" w:line="228" w:lineRule="auto"/>
              <w:ind w:left="292"/>
              <w:jc w:val="left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SAE再次出现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SAE没有再次出现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不适用</w:t>
            </w:r>
            <w:r>
              <w:rPr>
                <w:rFonts w:hint="default" w:ascii="Times New Roman" w:hAnsi="Times New Roman" w:eastAsia="宋体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6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3"/>
                <w:position w:val="-1"/>
                <w:sz w:val="21"/>
                <w:szCs w:val="21"/>
              </w:rPr>
              <w:t>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是否为 SUSAR</w:t>
            </w:r>
          </w:p>
        </w:tc>
        <w:tc>
          <w:tcPr>
            <w:tcW w:w="6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firstLine="208" w:firstLineChars="100"/>
              <w:jc w:val="both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否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outlineLvl w:val="9"/>
        <w:rPr>
          <w:rFonts w:hint="eastAsia"/>
        </w:rPr>
      </w:pPr>
    </w:p>
    <w:tbl>
      <w:tblPr>
        <w:tblStyle w:val="6"/>
        <w:tblpPr w:leftFromText="180" w:rightFromText="180" w:vertAnchor="text" w:horzAnchor="page" w:tblpX="1333" w:tblpY="174"/>
        <w:tblOverlap w:val="never"/>
        <w:tblW w:w="90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9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SAE临床表现及处理的详细情况，包括：患者一般情况，疾病史，入组后诊断、治疗情况，是否合并用药 及具体药物、给药方法，出现不良反应的时间、严重程度  相关检查检验结果，采取的措施(包括是否减药停药、减药停药后不良反应是否仍然存在、是否进行了对症治疗、具体治疗方法、停药后再次使用药物是否出现不良反应等)、转归(包括出现SAE后历次相关检查检验结果等)。与试验药物因果关系判定应综合非临床安全性研究结果、其他临床研究安全性信息、同类药物安全性研究信息、药物作用机理等，简单 分析并阐述与药物的相关性的判定依据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288" w:lineRule="exact"/>
        <w:textAlignment w:val="center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7613015</wp:posOffset>
            </wp:positionH>
            <wp:positionV relativeFrom="page">
              <wp:posOffset>0</wp:posOffset>
            </wp:positionV>
            <wp:extent cx="31750" cy="57150"/>
            <wp:effectExtent l="0" t="0" r="6350" b="0"/>
            <wp:wrapNone/>
            <wp:docPr id="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2" cy="57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" w:lineRule="exact"/>
        <w:outlineLvl w:val="9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374" w:tblpY="222"/>
        <w:tblOverlap w:val="never"/>
        <w:tblW w:w="9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4"/>
        <w:gridCol w:w="5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219" w:lineRule="auto"/>
              <w:ind w:left="114"/>
              <w:jc w:val="lef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研究者签字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lef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2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2" w:line="220" w:lineRule="auto"/>
              <w:ind w:left="114"/>
              <w:jc w:val="lef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日期</w:t>
            </w:r>
          </w:p>
        </w:tc>
        <w:tc>
          <w:tcPr>
            <w:tcW w:w="514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219" w:lineRule="auto"/>
              <w:ind w:left="743"/>
              <w:jc w:val="lef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sz w:val="18"/>
        <w:szCs w:val="52"/>
        <w:lang w:val="en-US" w:eastAsia="zh-CN"/>
      </w:rPr>
      <w:t xml:space="preserve">AKZYLL-AF/SS-09.02.0                                                      </w:t>
    </w:r>
    <w:r>
      <w:rPr>
        <w:rFonts w:ascii="宋体" w:hAnsi="宋体" w:eastAsia="宋体" w:cs="宋体"/>
        <w:spacing w:val="-6"/>
        <w:sz w:val="21"/>
        <w:szCs w:val="21"/>
      </w:rPr>
      <w:t>严重不良事件报告表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6AE11310"/>
    <w:rsid w:val="6AE11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2024-01-05T01:53:00Z</dcterms:created>
  <dc:creator>LTIANER</dc:creator>
  <cp:lastModifiedBy>LTIANER</cp:lastModifiedBy>
  <dcterms:modified xsi:type="dcterms:W3CDTF">2024-01-05T02:13:58Z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DACEDCB67B384B269BD74AD676DFBF76_11</vt:lpwstr>
  </property>
</Properties>
</file>